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49439" w14:textId="77777777" w:rsidR="001E4DCA" w:rsidRDefault="001E4DCA" w:rsidP="001E4DCA">
      <w:pPr>
        <w:pStyle w:val="Overskrift1"/>
      </w:pPr>
      <w:bookmarkStart w:id="0" w:name="_Toc513198819"/>
      <w:r>
        <w:t>V. Særkrav: Forskning på afdøde</w:t>
      </w:r>
      <w:bookmarkEnd w:id="0"/>
    </w:p>
    <w:p w14:paraId="19E732AA" w14:textId="05FCB8CE" w:rsidR="001E4DCA" w:rsidRDefault="00FD74A7" w:rsidP="001E4DCA">
      <w:pPr>
        <w:pStyle w:val="Versionogdato"/>
      </w:pPr>
      <w:r>
        <w:t>16</w:t>
      </w:r>
      <w:r w:rsidR="001E4DCA">
        <w:t>.05.2018</w:t>
      </w:r>
    </w:p>
    <w:p w14:paraId="558F6312" w14:textId="77777777" w:rsidR="001E4DCA" w:rsidRDefault="001E4DCA" w:rsidP="001E4DCA">
      <w:r>
        <w:t>Når der er tale om forskning på afdøde, vil en række oplysninger, som indgår i standardprotokollen, naturligt skulle udelades, fx procedurer for information og samtykke og lign.</w:t>
      </w:r>
    </w:p>
    <w:p w14:paraId="78D89608" w14:textId="77777777" w:rsidR="001E4DCA" w:rsidRDefault="001E4DCA" w:rsidP="001E4DCA"/>
    <w:p w14:paraId="2800B1B6" w14:textId="77777777" w:rsidR="001E4DCA" w:rsidRPr="00130E09" w:rsidRDefault="001E4DCA" w:rsidP="001E4DCA">
      <w:r>
        <w:t>Denne vejledning er suppleret med gældende retsregler for at præcisere grænsefladen til sundhedsloven.</w:t>
      </w:r>
    </w:p>
    <w:p w14:paraId="3DAE4FE2" w14:textId="77777777" w:rsidR="001E4DCA" w:rsidRDefault="001E4DCA" w:rsidP="001E4DCA"/>
    <w:tbl>
      <w:tblPr>
        <w:tblStyle w:val="Tabel-Gitter"/>
        <w:tblW w:w="0" w:type="auto"/>
        <w:tblBorders>
          <w:top w:val="single" w:sz="4" w:space="0" w:color="2A588D"/>
          <w:left w:val="single" w:sz="4" w:space="0" w:color="2A588D"/>
          <w:bottom w:val="single" w:sz="4" w:space="0" w:color="2A588D"/>
          <w:right w:val="single" w:sz="4" w:space="0" w:color="2A588D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491"/>
      </w:tblGrid>
      <w:tr w:rsidR="001E4DCA" w14:paraId="19FA35B7" w14:textId="77777777" w:rsidTr="00520E59">
        <w:sdt>
          <w:sdtPr>
            <w:rPr>
              <w:color w:val="1DB3E7"/>
              <w:sz w:val="28"/>
              <w:szCs w:val="28"/>
            </w:rPr>
            <w:id w:val="-112284654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nil"/>
                </w:tcBorders>
              </w:tcPr>
              <w:p w14:paraId="633B76DA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14:paraId="7B4B7CA8" w14:textId="77777777" w:rsidR="001E4DCA" w:rsidRDefault="001E4DCA" w:rsidP="00520E59">
            <w:pPr>
              <w:pStyle w:val="Tabeloverskrift"/>
            </w:pPr>
            <w:r>
              <w:t xml:space="preserve">1. </w:t>
            </w:r>
            <w:r w:rsidRPr="00130E09">
              <w:t>Beskriv om der er tale om forskning i materiale udtaget ved obduktion (komitélovens § 8, stk. 1):</w:t>
            </w:r>
          </w:p>
        </w:tc>
      </w:tr>
      <w:tr w:rsidR="001E4DCA" w14:paraId="3638803E" w14:textId="77777777" w:rsidTr="00520E59">
        <w:sdt>
          <w:sdtPr>
            <w:rPr>
              <w:color w:val="1DB3E7"/>
              <w:sz w:val="28"/>
              <w:szCs w:val="28"/>
            </w:rPr>
            <w:id w:val="-32767007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2EEB6A8C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18635820" w14:textId="77777777" w:rsidR="001E4DCA" w:rsidRDefault="001E4DCA" w:rsidP="00520E59">
            <w:pPr>
              <w:pStyle w:val="Tabelliste"/>
            </w:pPr>
            <w:r>
              <w:t>a.</w:t>
            </w:r>
            <w:r>
              <w:tab/>
            </w:r>
            <w:r w:rsidRPr="00130E09">
              <w:t>Retslægelige obduktioner (sundhedslovens § 184</w:t>
            </w:r>
            <w:r>
              <w:t>)</w:t>
            </w:r>
          </w:p>
        </w:tc>
      </w:tr>
      <w:tr w:rsidR="001E4DCA" w14:paraId="772017D8" w14:textId="77777777" w:rsidTr="00520E59">
        <w:tc>
          <w:tcPr>
            <w:tcW w:w="0" w:type="auto"/>
            <w:tcBorders>
              <w:top w:val="nil"/>
              <w:bottom w:val="nil"/>
            </w:tcBorders>
          </w:tcPr>
          <w:p w14:paraId="309CA257" w14:textId="77777777" w:rsidR="001E4DCA" w:rsidRPr="00200A7E" w:rsidRDefault="001E4DCA" w:rsidP="00520E59">
            <w:pPr>
              <w:spacing w:line="240" w:lineRule="auto"/>
              <w:rPr>
                <w:color w:val="1DB3E7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0CB8F4" w14:textId="77777777" w:rsidR="001E4DCA" w:rsidRPr="005238D4" w:rsidRDefault="001E4DCA" w:rsidP="00520E59">
            <w:r>
              <w:t>Angiv om:</w:t>
            </w:r>
          </w:p>
        </w:tc>
      </w:tr>
      <w:tr w:rsidR="001E4DCA" w14:paraId="18843C80" w14:textId="77777777" w:rsidTr="00520E59">
        <w:sdt>
          <w:sdtPr>
            <w:rPr>
              <w:color w:val="1DB3E7"/>
              <w:sz w:val="28"/>
              <w:szCs w:val="28"/>
            </w:rPr>
            <w:id w:val="55813463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253FA3F2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158132BD" w14:textId="77777777" w:rsidR="001E4DCA" w:rsidRPr="00A66371" w:rsidRDefault="001E4DCA" w:rsidP="00520E59">
            <w:pPr>
              <w:pStyle w:val="Tabelliste"/>
            </w:pPr>
            <w:r>
              <w:t>b.</w:t>
            </w:r>
            <w:r>
              <w:tab/>
            </w:r>
            <w:r w:rsidRPr="00130E09">
              <w:t>Materialet er udtaget før 1. januar 2012 (ej krav om samtykke efter sundhedsloven), eller</w:t>
            </w:r>
          </w:p>
        </w:tc>
      </w:tr>
      <w:tr w:rsidR="001E4DCA" w:rsidRPr="001208ED" w14:paraId="076635BE" w14:textId="77777777" w:rsidTr="00520E59">
        <w:sdt>
          <w:sdtPr>
            <w:rPr>
              <w:color w:val="1DB3E7"/>
              <w:sz w:val="28"/>
              <w:szCs w:val="28"/>
            </w:rPr>
            <w:id w:val="-186836816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2411CB0D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59A76F50" w14:textId="77777777" w:rsidR="001E4DCA" w:rsidRPr="001208ED" w:rsidRDefault="001E4DCA" w:rsidP="00520E59">
            <w:pPr>
              <w:pStyle w:val="Tabelliste"/>
            </w:pPr>
            <w:r>
              <w:t>c.</w:t>
            </w:r>
            <w:r>
              <w:tab/>
            </w:r>
            <w:r w:rsidRPr="00130E09">
              <w:t>Materialet er udtaget efter 1. januar 2012 (med samtykke efter sundhedslovens § 187, se Sundhedsministeriets Vejledning om samtykke til forskning i væv og andet biologisk materiale, der udtages ved retslægelig obduktion.</w:t>
            </w:r>
            <w:r>
              <w:t xml:space="preserve"> </w:t>
            </w:r>
            <w:hyperlink r:id="rId9" w:history="1">
              <w:r w:rsidRPr="001208ED">
                <w:rPr>
                  <w:rStyle w:val="Hyperlink"/>
                </w:rPr>
                <w:t>Se Vejledning om samtykke til forskning i væv og andet biologisk materiale, der udtages ved retslægelig obduktion</w:t>
              </w:r>
            </w:hyperlink>
          </w:p>
        </w:tc>
      </w:tr>
      <w:tr w:rsidR="001E4DCA" w14:paraId="3267053A" w14:textId="77777777" w:rsidTr="00520E59">
        <w:sdt>
          <w:sdtPr>
            <w:rPr>
              <w:color w:val="1DB3E7"/>
              <w:sz w:val="28"/>
              <w:szCs w:val="28"/>
            </w:rPr>
            <w:id w:val="-54451805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77288027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67C958F8" w14:textId="77777777" w:rsidR="001E4DCA" w:rsidRDefault="001E4DCA" w:rsidP="00520E59">
            <w:pPr>
              <w:pStyle w:val="Tabelliste"/>
            </w:pPr>
            <w:r>
              <w:t>d.</w:t>
            </w:r>
            <w:r>
              <w:tab/>
            </w:r>
            <w:r w:rsidRPr="00130E09">
              <w:t xml:space="preserve">Lægevidenskabelige obduktioner (med samtykke efter sundhedsloven § 187, se Sundhedsministeriets </w:t>
            </w:r>
            <w:hyperlink r:id="rId10" w:history="1">
              <w:r w:rsidRPr="00130E09">
                <w:rPr>
                  <w:rStyle w:val="Hyperlink"/>
                </w:rPr>
                <w:t>Vejledning om samtykke til lægevidenskabelige obduktioner m.v. (hospital</w:t>
              </w:r>
              <w:r>
                <w:rPr>
                  <w:rStyle w:val="Hyperlink"/>
                </w:rPr>
                <w:t>s</w:t>
              </w:r>
              <w:r w:rsidRPr="00130E09">
                <w:rPr>
                  <w:rStyle w:val="Hyperlink"/>
                </w:rPr>
                <w:t>obduktioner)</w:t>
              </w:r>
            </w:hyperlink>
          </w:p>
        </w:tc>
      </w:tr>
      <w:tr w:rsidR="001E4DCA" w14:paraId="39F6B869" w14:textId="77777777" w:rsidTr="00520E59"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14:paraId="35404176" w14:textId="77777777" w:rsidR="001E4DCA" w:rsidRDefault="001E4DCA" w:rsidP="00520E59">
            <w:pPr>
              <w:spacing w:line="240" w:lineRule="auto"/>
              <w:rPr>
                <w:color w:val="1DB3E7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14:paraId="7D1C18F7" w14:textId="77777777" w:rsidR="001E4DCA" w:rsidRDefault="001E4DCA" w:rsidP="00520E59">
            <w:pPr>
              <w:pStyle w:val="Tabeltekst"/>
            </w:pPr>
            <w:r w:rsidRPr="00130E09">
              <w:t xml:space="preserve">NB: Erklæringer til information og samtykke skal </w:t>
            </w:r>
            <w:r w:rsidRPr="00B05DD8">
              <w:rPr>
                <w:b/>
                <w:i/>
              </w:rPr>
              <w:t>ikke</w:t>
            </w:r>
            <w:r w:rsidRPr="00130E09">
              <w:t xml:space="preserve"> indsendes.</w:t>
            </w:r>
          </w:p>
        </w:tc>
      </w:tr>
      <w:tr w:rsidR="001E4DCA" w14:paraId="39CBE5BD" w14:textId="77777777" w:rsidTr="00520E59">
        <w:sdt>
          <w:sdtPr>
            <w:rPr>
              <w:color w:val="1DB3E7"/>
              <w:sz w:val="28"/>
              <w:szCs w:val="28"/>
            </w:rPr>
            <w:id w:val="147549423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</w:tcBorders>
              </w:tcPr>
              <w:p w14:paraId="490D7793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</w:tcBorders>
          </w:tcPr>
          <w:p w14:paraId="24B11DAB" w14:textId="77777777" w:rsidR="001E4DCA" w:rsidRDefault="001E4DCA" w:rsidP="00520E59">
            <w:pPr>
              <w:pStyle w:val="Tabeloverskrift"/>
            </w:pPr>
            <w:r>
              <w:t xml:space="preserve">2. </w:t>
            </w:r>
            <w:r w:rsidRPr="00130E09">
              <w:t>Beskriv at der er tale om forskning på biologisk materiale fra afdøde, men ej obduktion</w:t>
            </w:r>
            <w:r>
              <w:t>, jf. komitélovens § 8, stk. 2:</w:t>
            </w:r>
          </w:p>
        </w:tc>
      </w:tr>
      <w:tr w:rsidR="001E4DCA" w14:paraId="4BF94B53" w14:textId="77777777" w:rsidTr="00520E59">
        <w:sdt>
          <w:sdtPr>
            <w:rPr>
              <w:color w:val="1DB3E7"/>
              <w:sz w:val="28"/>
              <w:szCs w:val="28"/>
            </w:rPr>
            <w:id w:val="182662459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5E395B79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59772CAA" w14:textId="77777777" w:rsidR="001E4DCA" w:rsidRDefault="001E4DCA" w:rsidP="00520E59">
            <w:pPr>
              <w:pStyle w:val="Tabelliste"/>
            </w:pPr>
            <w:r>
              <w:t>a.</w:t>
            </w:r>
            <w:r>
              <w:tab/>
            </w:r>
            <w:r w:rsidRPr="00130E09">
              <w:t>Afdødes donation af legemet til videnskaben efter sundhedslovens § 188, eller</w:t>
            </w:r>
          </w:p>
        </w:tc>
      </w:tr>
      <w:tr w:rsidR="001E4DCA" w14:paraId="23587608" w14:textId="77777777" w:rsidTr="00520E59">
        <w:sdt>
          <w:sdtPr>
            <w:rPr>
              <w:color w:val="1DB3E7"/>
              <w:sz w:val="28"/>
              <w:szCs w:val="28"/>
            </w:rPr>
            <w:id w:val="88429536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35CB99A0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5ED16D3C" w14:textId="77777777" w:rsidR="001E4DCA" w:rsidRDefault="001E4DCA" w:rsidP="00520E59">
            <w:pPr>
              <w:pStyle w:val="Tabelliste"/>
            </w:pPr>
            <w:r>
              <w:t>b.</w:t>
            </w:r>
            <w:r>
              <w:tab/>
            </w:r>
            <w:r w:rsidRPr="00130E09">
              <w:t>Andre indgreb efter komitélovens § 8, stk. 2</w:t>
            </w:r>
          </w:p>
        </w:tc>
      </w:tr>
      <w:tr w:rsidR="001E4DCA" w14:paraId="06B65563" w14:textId="77777777" w:rsidTr="00520E59">
        <w:sdt>
          <w:sdtPr>
            <w:rPr>
              <w:color w:val="1DB3E7"/>
              <w:sz w:val="28"/>
              <w:szCs w:val="28"/>
            </w:rPr>
            <w:id w:val="-33145101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13B4E594" w14:textId="77777777" w:rsidR="001E4DCA" w:rsidRPr="00200A7E" w:rsidRDefault="001E4DCA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1DD81BFC" w14:textId="77777777" w:rsidR="001E4DCA" w:rsidRDefault="001E4DCA" w:rsidP="00520E59">
            <w:pPr>
              <w:pStyle w:val="Tabelliste"/>
            </w:pPr>
            <w:r>
              <w:t>c.</w:t>
            </w:r>
            <w:r>
              <w:tab/>
            </w:r>
            <w:r w:rsidRPr="00130E09">
              <w:t>Dvs. mindre indgreb som udtagning af blod, fjernelse af hudpartier og ligestillede indgreb (dog ikke fjernelse af nethinder, der behandles som obduktion).</w:t>
            </w:r>
          </w:p>
        </w:tc>
      </w:tr>
      <w:tr w:rsidR="001E4DCA" w14:paraId="13DC5A3E" w14:textId="77777777" w:rsidTr="00520E59">
        <w:tc>
          <w:tcPr>
            <w:tcW w:w="0" w:type="auto"/>
          </w:tcPr>
          <w:p w14:paraId="1BF66B58" w14:textId="77777777" w:rsidR="001E4DCA" w:rsidRDefault="001E4DCA" w:rsidP="00520E59">
            <w:pPr>
              <w:spacing w:line="240" w:lineRule="auto"/>
              <w:rPr>
                <w:color w:val="1DB3E7"/>
                <w:sz w:val="28"/>
                <w:szCs w:val="28"/>
              </w:rPr>
            </w:pPr>
          </w:p>
        </w:tc>
        <w:tc>
          <w:tcPr>
            <w:tcW w:w="0" w:type="auto"/>
          </w:tcPr>
          <w:p w14:paraId="5780C12B" w14:textId="77777777" w:rsidR="001E4DCA" w:rsidRPr="00130E09" w:rsidRDefault="001E4DCA" w:rsidP="00520E59">
            <w:pPr>
              <w:pStyle w:val="Tabeltekst"/>
            </w:pPr>
            <w:r w:rsidRPr="00130E09">
              <w:t>NB: Erklærin</w:t>
            </w:r>
            <w:r>
              <w:t>ger til information og samtykke</w:t>
            </w:r>
            <w:r w:rsidRPr="00130E09">
              <w:t xml:space="preserve"> skal indsendes.</w:t>
            </w:r>
            <w:r>
              <w:t xml:space="preserve"> </w:t>
            </w:r>
            <w:hyperlink r:id="rId11" w:history="1">
              <w:r w:rsidRPr="006D3C51">
                <w:rPr>
                  <w:rStyle w:val="Hyperlink"/>
                </w:rPr>
                <w:t>Find samtykkeerklæringer</w:t>
              </w:r>
            </w:hyperlink>
          </w:p>
          <w:p w14:paraId="017F834A" w14:textId="77777777" w:rsidR="001E4DCA" w:rsidRDefault="001E4DCA" w:rsidP="00520E59">
            <w:pPr>
              <w:pStyle w:val="Tabeltekst"/>
            </w:pPr>
            <w:r w:rsidRPr="00130E09">
              <w:t xml:space="preserve">Du kan læse mere om forskning på afdøde i komitésystemets </w:t>
            </w:r>
            <w:hyperlink r:id="rId12" w:history="1">
              <w:r w:rsidRPr="00130E09">
                <w:rPr>
                  <w:rStyle w:val="Hyperlink"/>
                </w:rPr>
                <w:t>Vejledning om forskning på afdøde</w:t>
              </w:r>
            </w:hyperlink>
          </w:p>
        </w:tc>
      </w:tr>
    </w:tbl>
    <w:p w14:paraId="78426532" w14:textId="5D3E97DB" w:rsidR="006E2E3D" w:rsidRPr="00A64EEA" w:rsidRDefault="00113464" w:rsidP="00A64EEA">
      <w:r w:rsidRPr="00A64EEA">
        <w:t xml:space="preserve"> </w:t>
      </w:r>
    </w:p>
    <w:sectPr w:rsidR="006E2E3D" w:rsidRPr="00A64EEA" w:rsidSect="00361F9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8EC1" w14:textId="77777777" w:rsidR="000152EC" w:rsidRDefault="000152EC" w:rsidP="008124BB">
      <w:pPr>
        <w:spacing w:line="240" w:lineRule="auto"/>
      </w:pPr>
      <w:r>
        <w:separator/>
      </w:r>
    </w:p>
  </w:endnote>
  <w:endnote w:type="continuationSeparator" w:id="0">
    <w:p w14:paraId="34B56B2A" w14:textId="77777777" w:rsidR="000152EC" w:rsidRDefault="000152EC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AA94" w14:textId="1E7586FF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64EEA">
      <w:rPr>
        <w:noProof/>
      </w:rPr>
      <w:t>5</w:t>
    </w:r>
    <w:r>
      <w:fldChar w:fldCharType="end"/>
    </w:r>
    <w:r>
      <w:t xml:space="preserve"> / </w:t>
    </w:r>
    <w:r w:rsidR="000152EC">
      <w:fldChar w:fldCharType="begin"/>
    </w:r>
    <w:r w:rsidR="000152EC">
      <w:instrText xml:space="preserve"> NUMPAGES  \* Arabic  \* MERGEFORMAT </w:instrText>
    </w:r>
    <w:r w:rsidR="000152EC">
      <w:fldChar w:fldCharType="separate"/>
    </w:r>
    <w:r w:rsidR="00A64EEA">
      <w:rPr>
        <w:noProof/>
      </w:rPr>
      <w:t>14</w:t>
    </w:r>
    <w:r w:rsidR="000152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B86C" w14:textId="77777777" w:rsidR="008A6397" w:rsidRDefault="008A6397" w:rsidP="000C0F3B">
    <w:pPr>
      <w:pStyle w:val="Sidefod1"/>
      <w:rPr>
        <w:b/>
      </w:rPr>
    </w:pPr>
  </w:p>
  <w:p w14:paraId="1E26DF21" w14:textId="48F34A8E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FD74A7">
      <w:rPr>
        <w:noProof/>
      </w:rPr>
      <w:t>1</w:t>
    </w:r>
    <w:r w:rsidRPr="00697840">
      <w:fldChar w:fldCharType="end"/>
    </w:r>
    <w:r w:rsidRPr="00697840">
      <w:t xml:space="preserve"> / </w:t>
    </w:r>
    <w:r w:rsidR="000152EC">
      <w:fldChar w:fldCharType="begin"/>
    </w:r>
    <w:r w:rsidR="000152EC">
      <w:instrText xml:space="preserve"> NUMPAGES  \* Arabic  \* MERGEFORMAT </w:instrText>
    </w:r>
    <w:r w:rsidR="000152EC">
      <w:fldChar w:fldCharType="separate"/>
    </w:r>
    <w:r w:rsidR="00FD74A7">
      <w:rPr>
        <w:noProof/>
      </w:rPr>
      <w:t>1</w:t>
    </w:r>
    <w:r w:rsidR="000152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CCCB" w14:textId="77777777" w:rsidR="000152EC" w:rsidRDefault="000152EC" w:rsidP="008124BB">
      <w:pPr>
        <w:spacing w:line="240" w:lineRule="auto"/>
      </w:pPr>
      <w:r>
        <w:separator/>
      </w:r>
    </w:p>
  </w:footnote>
  <w:footnote w:type="continuationSeparator" w:id="0">
    <w:p w14:paraId="2DA4F930" w14:textId="77777777" w:rsidR="000152EC" w:rsidRDefault="000152EC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1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2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3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07pt;height:539.3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faRk3+9vMe9GSlpYqWeqx2FCGpP+4OnFgsTUkDV7l+gYlRkbjI8PWvnymSPoRIiJPa4ZSpU9dIBfuE6TucYng==" w:salt="RS0aDquyMXHcVwTyGc+eC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1"/>
    <w:rsid w:val="00003971"/>
    <w:rsid w:val="000152EC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6472"/>
    <w:rsid w:val="00167B8A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4DCA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74087"/>
    <w:rsid w:val="00382D12"/>
    <w:rsid w:val="003860AF"/>
    <w:rsid w:val="003860E7"/>
    <w:rsid w:val="003927EF"/>
    <w:rsid w:val="00392A55"/>
    <w:rsid w:val="003A789C"/>
    <w:rsid w:val="003E6023"/>
    <w:rsid w:val="003F6EAE"/>
    <w:rsid w:val="004030D1"/>
    <w:rsid w:val="004033FF"/>
    <w:rsid w:val="004072AE"/>
    <w:rsid w:val="0043083A"/>
    <w:rsid w:val="00441062"/>
    <w:rsid w:val="00441199"/>
    <w:rsid w:val="004429B9"/>
    <w:rsid w:val="004A0349"/>
    <w:rsid w:val="004A56EE"/>
    <w:rsid w:val="004B1873"/>
    <w:rsid w:val="004B2E0E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B620B"/>
    <w:rsid w:val="005C7A26"/>
    <w:rsid w:val="005D1ECB"/>
    <w:rsid w:val="005D38DE"/>
    <w:rsid w:val="005E24C3"/>
    <w:rsid w:val="005E4A4C"/>
    <w:rsid w:val="005F5098"/>
    <w:rsid w:val="005F5345"/>
    <w:rsid w:val="005F65B3"/>
    <w:rsid w:val="006022CF"/>
    <w:rsid w:val="00603E10"/>
    <w:rsid w:val="00620ACA"/>
    <w:rsid w:val="00627DED"/>
    <w:rsid w:val="0066106C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C7F"/>
    <w:rsid w:val="007604E4"/>
    <w:rsid w:val="00762EF6"/>
    <w:rsid w:val="007764F3"/>
    <w:rsid w:val="007770A1"/>
    <w:rsid w:val="0078597B"/>
    <w:rsid w:val="007A5502"/>
    <w:rsid w:val="007D788C"/>
    <w:rsid w:val="008033CC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33F9D"/>
    <w:rsid w:val="00A45348"/>
    <w:rsid w:val="00A47514"/>
    <w:rsid w:val="00A509B4"/>
    <w:rsid w:val="00A600CE"/>
    <w:rsid w:val="00A61875"/>
    <w:rsid w:val="00A64EEA"/>
    <w:rsid w:val="00A774DA"/>
    <w:rsid w:val="00A91462"/>
    <w:rsid w:val="00A95E86"/>
    <w:rsid w:val="00AA4B9E"/>
    <w:rsid w:val="00AB4EF3"/>
    <w:rsid w:val="00AC39DD"/>
    <w:rsid w:val="00AF10B7"/>
    <w:rsid w:val="00B224AD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2A40"/>
    <w:rsid w:val="00BE09C5"/>
    <w:rsid w:val="00BE4467"/>
    <w:rsid w:val="00C522DF"/>
    <w:rsid w:val="00C6223B"/>
    <w:rsid w:val="00C65F08"/>
    <w:rsid w:val="00C70FD7"/>
    <w:rsid w:val="00C854D9"/>
    <w:rsid w:val="00CA7DD7"/>
    <w:rsid w:val="00CB44E9"/>
    <w:rsid w:val="00CD726C"/>
    <w:rsid w:val="00CF5B6A"/>
    <w:rsid w:val="00CF7104"/>
    <w:rsid w:val="00D15C79"/>
    <w:rsid w:val="00D161B4"/>
    <w:rsid w:val="00D26405"/>
    <w:rsid w:val="00D308AF"/>
    <w:rsid w:val="00D35E4D"/>
    <w:rsid w:val="00D37C6F"/>
    <w:rsid w:val="00D4434E"/>
    <w:rsid w:val="00D55B2D"/>
    <w:rsid w:val="00D61594"/>
    <w:rsid w:val="00DA7B82"/>
    <w:rsid w:val="00DB04F9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F00FCE"/>
    <w:rsid w:val="00F015CA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D74A7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vk.dk/emner/afdoede/vejledning-om-afdoe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k.dk/samtykkeerklaeringe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retsinformation.dk/Forms/R0710.aspx?id=1102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tsinformation.dk/Forms/R0710.aspx?id=146566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5E3CCF2B-26C9-45E9-8173-048A0404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Møller-Fink</dc:creator>
  <cp:lastModifiedBy>Jesper Møller-Fink</cp:lastModifiedBy>
  <cp:revision>3</cp:revision>
  <cp:lastPrinted>2018-02-28T13:30:00Z</cp:lastPrinted>
  <dcterms:created xsi:type="dcterms:W3CDTF">2018-05-15T10:02:00Z</dcterms:created>
  <dcterms:modified xsi:type="dcterms:W3CDTF">2018-05-16T12:06:00Z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